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632F9" w:rsidRPr="00795AEE" w:rsidRDefault="003632F9" w:rsidP="003632F9">
      <w:r w:rsidRPr="00795AEE">
        <w:t xml:space="preserve">Figure 1. Prevalence of stunting among under-five-years old children in Kenya (2014) </w:t>
      </w:r>
    </w:p>
    <w:p w:rsidR="003632F9" w:rsidRPr="00795AEE" w:rsidRDefault="003632F9" w:rsidP="003632F9">
      <w:r w:rsidRPr="00795AEE">
        <w:drawing>
          <wp:anchor distT="0" distB="0" distL="114300" distR="114300" simplePos="0" relativeHeight="251659264" behindDoc="0" locked="0" layoutInCell="1" allowOverlap="1" wp14:anchorId="20FC72B5" wp14:editId="0FC9506A">
            <wp:simplePos x="0" y="0"/>
            <wp:positionH relativeFrom="margin">
              <wp:align>left</wp:align>
            </wp:positionH>
            <wp:positionV relativeFrom="paragraph">
              <wp:posOffset>2471527</wp:posOffset>
            </wp:positionV>
            <wp:extent cx="107667" cy="173131"/>
            <wp:effectExtent l="0" t="0" r="6985" b="0"/>
            <wp:wrapNone/>
            <wp:docPr id="6" name="Picture 6" descr="C:\Users\WMarivoet\AppData\Local\Microsoft\Windows\INetCache\Content.Word\free-png-north-arrow-big-image-png-1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WMarivoet\AppData\Local\Microsoft\Windows\INetCache\Content.Word\free-png-north-arrow-big-image-png-1659.png"/>
                    <pic:cNvPicPr>
                      <a:picLocks noChangeAspect="1"/>
                    </pic:cNvPicPr>
                  </pic:nvPicPr>
                  <pic:blipFill rotWithShape="1">
                    <a:blip r:embed="rId4" cstate="print">
                      <a:extLst>
                        <a:ext uri="{28A0092B-C50C-407E-A947-70E740481C1C}">
                          <a14:useLocalDpi xmlns:a14="http://schemas.microsoft.com/office/drawing/2010/main" val="0"/>
                        </a:ext>
                      </a:extLst>
                    </a:blip>
                    <a:srcRect l="26845" r="26842"/>
                    <a:stretch/>
                  </pic:blipFill>
                  <pic:spPr bwMode="auto">
                    <a:xfrm>
                      <a:off x="0" y="0"/>
                      <a:ext cx="107667" cy="173131"/>
                    </a:xfrm>
                    <a:prstGeom prst="rect">
                      <a:avLst/>
                    </a:prstGeom>
                    <a:noFill/>
                    <a:ln>
                      <a:noFill/>
                    </a:ln>
                    <a:extLst>
                      <a:ext uri="{53640926-AAD7-44D8-BBD7-CCE9431645EC}">
                        <a14:shadowObscured xmlns:a14="http://schemas.microsoft.com/office/drawing/2010/main"/>
                      </a:ext>
                    </a:extLst>
                  </pic:spPr>
                </pic:pic>
              </a:graphicData>
            </a:graphic>
          </wp:anchor>
        </w:drawing>
      </w:r>
      <w:r w:rsidRPr="00795AEE">
        <w:drawing>
          <wp:inline distT="0" distB="0" distL="0" distR="0" wp14:anchorId="391EB100" wp14:editId="69791335">
            <wp:extent cx="3377651" cy="42799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82808" cy="4286435"/>
                    </a:xfrm>
                    <a:prstGeom prst="rect">
                      <a:avLst/>
                    </a:prstGeom>
                  </pic:spPr>
                </pic:pic>
              </a:graphicData>
            </a:graphic>
          </wp:inline>
        </w:drawing>
      </w:r>
    </w:p>
    <w:p w:rsidR="003632F9" w:rsidRDefault="003632F9" w:rsidP="003632F9">
      <w:r w:rsidRPr="00795AEE">
        <w:t>Source: Authors’ with data from DHS (2014).</w:t>
      </w:r>
    </w:p>
    <w:p w:rsidR="003632F9" w:rsidRDefault="003632F9">
      <w:pPr>
        <w:spacing w:after="160" w:line="259" w:lineRule="auto"/>
      </w:pPr>
      <w:r>
        <w:br w:type="page"/>
      </w:r>
    </w:p>
    <w:p w:rsidR="003632F9" w:rsidRPr="00795AEE" w:rsidRDefault="003632F9" w:rsidP="003632F9">
      <w:r w:rsidRPr="00795AEE">
        <w:lastRenderedPageBreak/>
        <w:t>Figure 4. Counties by intervention type and nutrition constraint, Kenya (2014-2015)</w:t>
      </w:r>
    </w:p>
    <w:p w:rsidR="003632F9" w:rsidRPr="00795AEE" w:rsidRDefault="003632F9" w:rsidP="003632F9">
      <w:r w:rsidRPr="00795AEE">
        <w:drawing>
          <wp:inline distT="0" distB="0" distL="0" distR="0" wp14:anchorId="16AD6AC3" wp14:editId="15E56EEB">
            <wp:extent cx="2852928" cy="347472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52928" cy="3474720"/>
                    </a:xfrm>
                    <a:prstGeom prst="rect">
                      <a:avLst/>
                    </a:prstGeom>
                  </pic:spPr>
                </pic:pic>
              </a:graphicData>
            </a:graphic>
          </wp:inline>
        </w:drawing>
      </w:r>
      <w:r w:rsidRPr="00795AEE">
        <w:t xml:space="preserve">     </w:t>
      </w:r>
      <w:r w:rsidRPr="00795AEE">
        <w:drawing>
          <wp:inline distT="0" distB="0" distL="0" distR="0" wp14:anchorId="1DDCEA11" wp14:editId="3F0C4699">
            <wp:extent cx="2852928" cy="34747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52928" cy="3474720"/>
                    </a:xfrm>
                    <a:prstGeom prst="rect">
                      <a:avLst/>
                    </a:prstGeom>
                  </pic:spPr>
                </pic:pic>
              </a:graphicData>
            </a:graphic>
          </wp:inline>
        </w:drawing>
      </w:r>
    </w:p>
    <w:p w:rsidR="003632F9" w:rsidRPr="00795AEE" w:rsidRDefault="003632F9" w:rsidP="003632F9">
      <w:r w:rsidRPr="00795AEE">
        <w:drawing>
          <wp:inline distT="0" distB="0" distL="0" distR="0" wp14:anchorId="54FD2CCE" wp14:editId="0FACB0C8">
            <wp:extent cx="2852928" cy="347472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2928" cy="3474720"/>
                    </a:xfrm>
                    <a:prstGeom prst="rect">
                      <a:avLst/>
                    </a:prstGeom>
                  </pic:spPr>
                </pic:pic>
              </a:graphicData>
            </a:graphic>
          </wp:inline>
        </w:drawing>
      </w:r>
      <w:r w:rsidRPr="00795AEE">
        <w:t xml:space="preserve">     </w:t>
      </w:r>
      <w:r w:rsidRPr="00795AEE">
        <w:drawing>
          <wp:inline distT="0" distB="0" distL="0" distR="0" wp14:anchorId="6F06A93E" wp14:editId="6D979F64">
            <wp:extent cx="2852928" cy="347472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52928" cy="3474720"/>
                    </a:xfrm>
                    <a:prstGeom prst="rect">
                      <a:avLst/>
                    </a:prstGeom>
                  </pic:spPr>
                </pic:pic>
              </a:graphicData>
            </a:graphic>
          </wp:inline>
        </w:drawing>
      </w:r>
    </w:p>
    <w:p w:rsidR="003632F9" w:rsidRPr="00795AEE" w:rsidRDefault="003632F9" w:rsidP="003632F9">
      <w:r w:rsidRPr="00795AEE">
        <w:t>Notes: LPr, MPr, HPr respectively stand for low, medium and high priority counties; and Ag and nAg refer to high and low agricultural potential.</w:t>
      </w:r>
    </w:p>
    <w:p w:rsidR="003632F9" w:rsidRDefault="003632F9" w:rsidP="003632F9">
      <w:r w:rsidRPr="00795AEE">
        <w:t xml:space="preserve">Source: Authors’ with data from </w:t>
      </w:r>
      <w:r w:rsidRPr="00795AEE">
        <w:fldChar w:fldCharType="begin" w:fldLock="1"/>
      </w:r>
      <w:r w:rsidRPr="00795AEE">
        <w:instrText>ADDIN CSL_CITATION {"citationItems":[{"id":"ITEM-1","itemData":{"DOI":"10.3390/rs9101065","ISBN":"2072-4292","ISSN":"20724292","abstract":"A satellite-derived cropland extent map at high spatial resolution (30-m or better) is a must for food and water security analysis. Precise and accurate global cropland extent maps, indicating cropland and non-cropland areas, are starting points to develop higher-level products such as crop watering methods (irrigated or rainfed), cropping intensities (e.g., single, double, or continuous cropping), crop types, cropland fallows, as well as for assessment of cropland productivity (productivity per unit of land), and crop water productivity (productivity per unit of water). Uncertainties associated with the cropland extent map have cascading effects on all higher-level cropland products. However, precise and accurate cropland extent maps at high spatial resolution over large areas (e.g., continents or the globe) are challenging to produce due to the small-holder dominant agricultural systems like those found in most of Africa and Asia. Cloud-based geospatial computing platforms and multi-date, multi-sensor satellite image inventories on Google Earth Engine offer opportunities for mapping croplands with precision and accuracy over large areas that satisfy the requirements of broad range of applications. Such maps are expected to provide highly significant improvements compared to existing products, which tend to be coarser in resolution, and often fail to capture fragmented small-holder farms especially in regions with high dynamic change within and across years. To overcome these limitations, in this research we present an approach for cropland extent mapping at high spatial resolution (30-m or better) using the 10-day, 10 to 20-m, Sentinel-2 data in combination with 16-day, 30-m, Landsat-8 data on Google Earth Engine (GEE). First, nominal 30-m resolution satellite imagery composites were created from 36,924 scenes of Sentinel-2 and Landsat-8 images for the entire African continent in 2015–2016. These composites were generated using a median-mosaic of five bands (blue, green, red, near-infrared, NDVI) during each of the two periods (period 1: January–June 2016 and period 2: July–December 2015) plus a 30-m slope layer derived from the Shuttle Radar Topographic Mission (SRTM) elevation dataset. Second, we selected Cropland/Non-cropland training samples (sample size = 9791) from various sources in GEE to create pixel-based classifications. As supervised classification algorithm, Random Forest (RF) was used as the primary classifier because of its efficiency, …","author":[{"dropping-particle":"","family":"Xiong","given":"Jun","non-dropping-particle":"","parse-names":false,"suffix":""},{"dropping-particle":"","family":"Thenkabail","given":"Prasad S.","non-dropping-particle":"","parse-names":false,"suffix":""},{"dropping-particle":"","family":"Tilton","given":"James C.","non-dropping-particle":"","parse-names":false,"suffix":""},{"dropping-particle":"","family":"Gumma","given":"Murali K.","non-dropping-particle":"","parse-names":false,"suffix":""},{"dropping-particle":"","family":"Teluguntla","given":"Pardhasaradhi","non-dropping-particle":"","parse-names":false,"suffix":""},{"dropping-particle":"","family":"Oliphant","given":"Adam","non-dropping-particle":"","parse-names":false,"suffix":""},{"dropping-particle":"","family":"Congalton","given":"Russell G.","non-dropping-particle":"","parse-names":false,"suffix":""},{"dropping-particle":"","family":"Yadav","given":"Kamini","non-dropping-particle":"","parse-names":false,"suffix":""},{"dropping-particle":"","family":"Gorelick","given":"Noel","non-dropping-particle":"","parse-names":false,"suffix":""}],"container-title":"Remote Sensing","id":"ITEM-1","issue":"10","issued":{"date-parts":[["2017"]]},"page":"1-27","title":"Nominal 30-m cropland extent map of continental Africa by integrating pixel-based and object-based algorithms using Sentinel-2 and Landsat-8 data on Google Earth Engine","type":"article-journal","volume":"9"},"uris":["http://www.mendeley.com/documents/?uuid=536c14c9-2232-45d3-a435-9871c12b9b76"]},{"id":"ITEM-2","itemData":{"DOI":"10.1126/science.1244693","ISBN":"1095-9203 (Electronic)\\n0036-8075 (Linking)","ISSN":"0036-8075","PMID":"24233722","abstract":"Quantification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C.","non-dropping-particle":"","parse-names":false,"suffix":""},{"dropping-particle":"","family":"Potapov","given":"P.V.","non-dropping-particle":"","parse-names":false,"suffix":""},{"dropping-particle":"","family":"Moore","given":"R.","non-dropping-particle":"","parse-names":false,"suffix":""},{"dropping-particle":"","family":"Hancher","given":"M.","non-dropping-particle":"","parse-names":false,"suffix":""},{"dropping-particle":"","family":"Turubanova","given":"S.A.","non-dropping-particle":"","parse-names":false,"suffix":""},{"dropping-particle":"","family":"Tyukavina","given":"A.","non-dropping-particle":"","parse-names":false,"suffix":""},{"dropping-particle":"","family":"Thau","given":"D.","non-dropping-particle":"","parse-names":false,"suffix":""},{"dropping-particle":"","family":"Stehman","given":"S.V.","non-dropping-particle":"","parse-names":false,"suffix":""},{"dropping-particle":"","family":"Goetz","given":"S.J.","non-dropping-particle":"","parse-names":false,"suffix":""},{"dropping-particle":"","family":"Loveland","given":"T.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O.","non-dropping-particle":"","parse-names":false,"suffix":""},{"dropping-particle":"","family":"Townshend","given":"J.R.G.","non-dropping-particle":"","parse-names":false,"suffix":""}],"container-title":"Science","id":"ITEM-2","issue":"November","issued":{"date-parts":[["2013"]]},"page":"850-853","title":"High-Resolution Global Maps of 21st-Century Forest Cover Change","type":"article-journal","volume":"342"},"uris":["http://www.mendeley.com/documents/?uuid=30074081-0067-47c3-9d10-3a30fae44710"]},{"id":"ITEM-3","itemData":{"author":[{"dropping-particle":"","family":"Pekel","given":"J.-F.","non-dropping-particle":"","parse-names":false,"suffix":""},{"dropping-particle":"","family":"Cottam","given":"A.","non-dropping-particle":"","parse-names":false,"suffix":""},{"dropping-particle":"","family":"Gorelick","given":"N.","non-dropping-particle":"","parse-names":false,"suffix":""},{"dropping-particle":"","family":"Belward","given":"A. S.","non-dropping-particle":"","parse-names":false,"suffix":""}],"container-title":"Nature","id":"ITEM-3","issue":"418-422","issued":{"date-parts":[["2016"]]},"title":"High-resolution mapping of global surface water and its long-term changes","type":"article-journal","volume":"540"},"uris":["http://www.mendeley.com/documents/?uuid=1faf2203-aca5-4342-b710-0d51730421c8"]},{"id":"ITEM-4","itemData":{"DOI":"https://doi.org/10.7927/H4P55KKF","author":[{"dropping-particle":"","family":"Brown de Colstoun","given":"E. C.","non-dropping-particle":"","parse-names":false,"suffix":""},{"dropping-particle":"","family":"Huang","given":"C.","non-dropping-particle":"","parse-names":false,"suffix":""},{"dropping-particle":"","family":"Wang","given":"P.","non-dropping-particle":"","parse-names":false,"suffix":""},{"dropping-particle":"","family":"Tilton","given":"J. C.","non-dropping-particle":"","parse-names":false,"suffix":""},{"dropping-particle":"","family":"Tan","given":"B.","non-dropping-particle":"","parse-names":false,"suffix":""},{"dropping-particle":"","family":"Phillips","given":"J.","non-dropping-particle":"","parse-names":false,"suffix":""},{"dropping-particle":"","family":"Niemczura","given":"S.","non-dropping-particle":"","parse-names":false,"suffix":""},{"dropping-particle":"","family":"Ling","given":"P.-Y.","non-dropping-particle":"","parse-names":false,"suffix":""},{"dropping-particle":"","family":"Wolfe.","given":"R. E.","non-dropping-particle":"","parse-names":false,"suffix":""}],"id":"ITEM-4","issued":{"date-parts":[["2017"]]},"publisher":"NASA Socioeconomic Data and Applications Center (SEDAC)","publisher-place":"Palisades, NY","title":"Global Man-made Impervious Surface (GMIS) Dataset From Landsat","type":"book"},"uris":["http://www.mendeley.com/documents/?uuid=42a273c2-ac7a-4053-a918-cdc6a00416e3"]},{"id":"ITEM-5","itemData":{"author":[{"dropping-particle":"","family":"Republic of Kenya","given":"","non-dropping-particle":"","parse-names":false,"suffix":""}],"container-title":"Annual Report","id":"ITEM-5","issued":{"date-parts":[["2010"]]},"publisher":"Government of Kenya","publisher-place":"Nairobi","title":"Agricultural Sector Development Strategy 2010-2020","type":"report"},"uris":["http://www.mendeley.com/documents/?uuid=5b86f5c0-abc6-4326-9b42-8b5089588c6f"]},{"id":"ITEM-6","itemData":{"author":[{"dropping-particle":"","family":"MOALF","given":"","non-dropping-particle":"","parse-names":false,"suffix":""}],"id":"ITEM-6","issued":{"date-parts":[["2014"]]},"publisher":"Ministry of Agriculture Livestock and Fisheries of Kenya","publisher-place":"Nairobi","title":"Agriculture and Livestock Survey: agricultural year 2014","type":"book"},"uris":["http://www.mendeley.com/documents/?uuid=5e516920-eb26-4adb-b1d3-495245a5b5af"]},{"id":"ITEM-7","itemData":{"author":[{"dropping-particle":"","family":"DHS","given":"","non-dropping-particle":"","parse-names":false,"suffix":""}],"id":"ITEM-7","issued":{"date-parts":[["2014"]]},"publisher":"KNBS, MoH, NACC, NCPD, KEMRI, ICF International","publisher-place":"Rockville, Maryland, USA","title":"Kenya Demographic and Health Survey 2014","type":"book"},"uris":["http://www.mendeley.com/documents/?uuid=c1f3df51-b52a-479d-9b09-0ff6714c6574"]},{"id":"ITEM-8","itemData":{"author":[{"dropping-particle":"","family":"CFSVA","given":"","non-dropping-particle":"","parse-names":false,"suffix":""}],"id":"ITEM-8","issued":{"date-parts":[["2014"]]},"publisher":"WFP","publisher-place":"Nairobi","title":"Kenya 2014 Comprehensive Food Security and Vulnerability Analysis","type":"book"},"uris":["http://www.mendeley.com/documents/?uuid=3354c2bc-3554-4708-a539-0fa6be69ddef"]},{"id":"ITEM-9","itemData":{"URL":"www.protectedplanet.net","accessed":{"date-parts":[["2018","3","28"]]},"author":[{"dropping-particle":"","family":"UNEP-WCMC","given":"","non-dropping-particle":"","parse-names":false,"suffix":""}],"id":"ITEM-9","issued":{"date-parts":[["2018"]]},"title":"Protected Area Profile for Kenya from the World Database of Protected Areas","type":"webpage"},"uris":["http://www.mendeley.com/documents/?uuid=730e687a-ce38-4c6f-8b52-89484699c97a"]},{"id":"ITEM-10","itemData":{"author":[{"dropping-particle":"","family":"KNBS","given":"","non-dropping-particle":"","parse-names":false,"suffix":""}],"id":"ITEM-10","issued":{"date-parts":[["2016"]]},"publisher":"Kenya National Bureau of Statistics - Ministry Of Devolution &amp; National Planning","publisher-place":"Nairobi","title":"Kenya Integrated Household Budget Survey 2015-2016","type":"book"},"uris":["http://www.mendeley.com/documents/?uuid=cc60f523-471f-4111-8810-b1297e58fd7c"]},{"id":"ITEM-11","itemData":{"ISBN":"9789251304457","author":[{"dropping-particle":"","family":"FAO/Government of Kenya","given":"","non-dropping-particle":"","parse-names":false,"suffix":""}],"id":"ITEM-11","issued":{"date-parts":[["2018"]]},"publisher":"The Food and Agriculture Organization of the United Nations, The Ministry of Health and The Ministry of Agriculture and Irrigation of the Republic of Kenya","publisher-place":"Nairobi","title":"Kenya Food Composition Tables","type":"book"},"uris":["http://www.mendeley.com/documents/?uuid=cff266c3-fab5-4e49-b729-10e3fffa28b2"]},{"id":"ITEM-12","itemData":{"author":[{"dropping-particle":"","family":"HCD-AFA","given":"","non-dropping-parti</w:instrText>
      </w:r>
      <w:r w:rsidRPr="003632F9">
        <w:rPr>
          <w:lang w:val="nl-NL"/>
        </w:rPr>
        <w:instrText>cle":"","parse-names":false,"suffix":""}],"id":"ITEM-12","issued":{"date-parts":[["2014"]]},"publisher":"The Horticultural Crops Directorate of the Agriculture and Food Authority","publisher-place":"Nairobi","title":"Horticulture, Validated Report 2014","type":"book"},"uris":["http://www.mendeley.com/documents/?uuid=86852466-7f5a-4ce0-85c8-99d843ad601c"]}],"mendeley":{"formattedCitation":"(Brown de Colstoun et al. 2017; CFSVA 2014; DHS 2014; FAO/Government of Kenya 2018; Hansen et al. 2013; HCD-AFA 2014; KNBS 2016; MOALF 2014; Pekel et al. 2016; Republic of Kenya 2010b; UNEP-WCMC 2018; Xiong et al. 2017)","manualFormatting":"Brown de Colstoun et al. (2017); CFSVA (2014); DHS (2014); FAO/Government of Kenya (2018); Hansen et al. (2013); HCD-AFA (2014); KNBS (2016); MOALF (2014); Pekel et al. (2016); Republic of Kenya (2010b); UNEP-WCMC (2018); Xiong et al. (2017)","plainTextFormattedCitation":"(Brown de Colstoun et al. 2017; CFSVA 2014; DHS 2014; FAO/Government of Kenya 2018; Hansen et al. 2013; HCD-AFA 2014; KNBS 2016; MOALF 2014; Pekel et al. 2016; Republic of Kenya 2010b; UNEP-WCMC 2018; Xiong et al. 2017)","previouslyFormattedCitation":"(Brown de Colstoun et al. 2017; CFSVA 2014; DHS 2014; FAO/Government of Kenya 2018; Hansen et al. 2013; HCD-AFA 2014; KNBS 2016; MOALF 2014; Pekel et al. 2016; Republic of Kenya 2010b; UNEP-WCMC 2018; Xiong et al. 2017)"},"properties":{"noteIndex":0},"schema":"https://github.com/citation-style-language/schema/raw/master/csl-citation.json"}</w:instrText>
      </w:r>
      <w:r w:rsidRPr="00795AEE">
        <w:fldChar w:fldCharType="separate"/>
      </w:r>
      <w:r w:rsidRPr="003632F9">
        <w:rPr>
          <w:lang w:val="nl-NL"/>
        </w:rPr>
        <w:t xml:space="preserve">Brown de Colstoun et al. (2017); CFSVA (2014); DHS (2014); FAO/Government of Kenya (2018); Hansen et al. </w:t>
      </w:r>
      <w:r w:rsidRPr="00795AEE">
        <w:t xml:space="preserve">(2013); HCD-AFA (2014); KNBS (2016); MOALF (2014); </w:t>
      </w:r>
      <w:proofErr w:type="spellStart"/>
      <w:r w:rsidRPr="00795AEE">
        <w:t>Pekel</w:t>
      </w:r>
      <w:proofErr w:type="spellEnd"/>
      <w:r w:rsidRPr="00795AEE">
        <w:t xml:space="preserve"> et al. (2016); Republic of Kenya (2010b); UNEP-WCMC (2018); Xiong et al. (2017)</w:t>
      </w:r>
      <w:r w:rsidRPr="00795AEE">
        <w:fldChar w:fldCharType="end"/>
      </w:r>
      <w:r>
        <w:t xml:space="preserve">. </w:t>
      </w:r>
      <w:bookmarkStart w:id="0" w:name="_GoBack"/>
      <w:bookmarkEnd w:id="0"/>
    </w:p>
    <w:sectPr w:rsidR="003632F9" w:rsidSect="003632F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2F9"/>
    <w:rsid w:val="003632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E2B9A9"/>
  <w15:chartTrackingRefBased/>
  <w15:docId w15:val="{DE878858-3EE0-41A9-ABC5-E9FA786A8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32F9"/>
    <w:pPr>
      <w:spacing w:after="200" w:line="276" w:lineRule="auto"/>
    </w:pPr>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Pages>
  <Words>2280</Words>
  <Characters>12997</Characters>
  <Application>Microsoft Office Word</Application>
  <DocSecurity>0</DocSecurity>
  <Lines>108</Lines>
  <Paragraphs>30</Paragraphs>
  <ScaleCrop>false</ScaleCrop>
  <Company/>
  <LinksUpToDate>false</LinksUpToDate>
  <CharactersWithSpaces>15247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Marivoet, Wim (IFPRI-Dakar)</dc:creator>
  <cp:keywords/>
  <dc:description/>
  <cp:lastModifiedBy>Marivoet, Wim (IFPRI-Dakar)</cp:lastModifiedBy>
  <cp:revision>1</cp:revision>
  <dcterms:created xsi:type="dcterms:W3CDTF">2018-12-21T16:55:00Z</dcterms:created>
  <dcterms:modified xsi:type="dcterms:W3CDTF">2018-12-21T16:57:00Z</dcterms:modified>
</cp:coreProperties>
</file>